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7.jpg" ContentType="image/jpeg"/>
  <Override PartName="/word/media/rId74.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2021-10-21 11:39:09</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60"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7"/>
    <w:bookmarkStart w:id="58"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1800 tons of dead fish near public and private shoreline areas (K. Hammer Levy, Pinellas County, pers. comm. Aug. 2021).</w:t>
      </w:r>
    </w:p>
    <w:bookmarkEnd w:id="58"/>
    <w:bookmarkStart w:id="59" w:name="nutrient-cycling"/>
    <w:p>
      <w:pPr>
        <w:pStyle w:val="Heading2"/>
      </w:pPr>
      <w:r>
        <w:t xml:space="preserve">Nutrient cycling</w:t>
      </w:r>
    </w:p>
    <w:p>
      <w:pPr>
        <w:pStyle w:val="FirstParagraph"/>
      </w:pPr>
      <w:r>
        <w:t xml:space="preserve">The above results can be considered together to develop a concise narrative of the temporal shift of nutrient pools between different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indicated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were likely present (as noted by modelling efforts). Conditions were relatively stable in August and September with relatively improved water quality conditions and no dominant algal blooms. These distinct temporal periods were readily identified through an ordination plot (see supplement) of non-metric multi-dimensional scaling results for the observed data in Figure</w:t>
      </w:r>
      <w:r>
        <w:t xml:space="preserve"> </w:t>
      </w:r>
      <w:r>
        <w:t xml:space="preserve">8</w:t>
      </w:r>
      <w:r>
        <w:t xml:space="preserve">.</w:t>
      </w:r>
    </w:p>
    <w:bookmarkEnd w:id="59"/>
    <w:bookmarkEnd w:id="60"/>
    <w:bookmarkStart w:id="66"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2">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3">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9"/>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5">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6">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7"/>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7" Target="media/rId77.jpg" /><Relationship Type="http://schemas.openxmlformats.org/officeDocument/2006/relationships/image" Id="rId74" Target="media/rId74.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2021-10-21T15:39:13Z</dcterms:created>
  <dcterms:modified xsi:type="dcterms:W3CDTF">2021-10-21T15:39:13Z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